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109 vom 9. Oktober 2020</w:t>
      </w:r>
    </w:p>
    <w:p>
      <w:r>
        <w:t>GR Gerichte, 2020-10-09, DE</w:t>
      </w:r>
    </w:p>
    <w:p>
      <w:r>
        <w:rPr>
          <w:b/>
        </w:rPr>
        <w:t xml:space="preserve">Quelle: </w:t>
      </w:r>
      <w:r>
        <w:t>https://mcp.opencaselaw.ch/entscheid/gr_gerichte_KSK 2020 109</w:t>
      </w:r>
    </w:p>
    <w:p>
      <w:r>
        <w:t>FR: GR_GERICHTE KSK 2020 109 du 9 octobre 2020</w:t>
      </w:r>
    </w:p>
    <w:p>
      <w:r>
        <w:t>IT: GR_GERICHTE KSK 2020 109 del 9 ottobre 2020</w:t>
      </w:r>
    </w:p>
    <w:p>
      <w:pPr>
        <w:pStyle w:val="Heading2"/>
      </w:pPr>
      <w:r>
        <w:t>Regeste</w:t>
      </w:r>
    </w:p>
    <w:p>
      <w:r>
        <w:t>definitive Rechtsöffnung | Rechtsöffnung</w:t>
      </w:r>
    </w:p>
    <w:p>
      <w:pPr>
        <w:pStyle w:val="Heading2"/>
      </w:pPr>
      <w:r>
        <w:t>Erwägungen</w:t>
      </w:r>
    </w:p>
    <w:p>
      <w:r>
        <w:rPr>
          <w:b/>
        </w:rPr>
        <w:t>E. 1</w:t>
      </w:r>
    </w:p>
    <w:p>
      <w:r>
        <w:t>Der Gesuchstellerin wird in der Betreibung Nr. _____, Betreibungsamt der Region Landquart, Zahlungsbefehl vom 14. Mai 2020, definitive Rechtsöffnung für den Betrag von CHF 25'558.00 erteilt.</w:t>
      </w:r>
    </w:p>
    <w:p>
      <w:r>
        <w:rPr>
          <w:b/>
        </w:rPr>
        <w:t>E. 1.1</w:t>
      </w:r>
    </w:p>
    <w:p>
      <w:r>
        <w:t>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w:t>
      </w:r>
    </w:p>
    <w:p>
      <w:r>
        <w:rPr>
          <w:b/>
        </w:rPr>
        <w:t>E. 1.2</w:t>
      </w:r>
    </w:p>
    <w:p>
      <w:r>
        <w:t>Bei der Anfechtung eines im summarischen Verfahren ergangenen Ent- scheids beträgt die Beschwerdefrist 10 Tage (vgl. Art. 321 Abs. 2 ZPO). Der vor- liegend angefochtene Entscheid datiert vom 9. September 2020 und wurde den Parteien mit schriftlicher Begründung am 14. September 2020 mitgeteilt. Er kann der Beschwerdeführerin frühestens am darauffolgenden Tag zugegangen sein. Die dagegen am 23. September 2020 der Schweizerischen Post übergebene Be- schwerde erweist sich somit als fristgerecht. 1.3.1. Gemäss Art. 320 ZPO können mit der Beschwerde die unrichtige Rechts- anwendung (lit. a) oder die offensichtlich unrichtige Feststellung des Sachverhalts (lit. b) geltend gemacht werden. Dabei muss die Beschwerde begründet werden (Art. 321 Abs. 1 ZPO). Die Begründung ist eine gesetzliche, von Amtes wegen zu prüfende Zulässigkeitsvoraussetzung für die Beschwerde. Fehlt sie oder entspricht sie nicht den dafür geltenden Anforderungen, so tritt das obere kantonale Gericht nicht auf die Beschwerde ein. Damit die Beschwerde dem Begründungserfordernis genügt, hat sie einerseits Beschwerdeanträge resp. Rechtsbegehren zu enthalten. Das heisst, es ist bestimmt zu erklären, welche Änderungen im Dispositiv des an- gefochtenen Entscheids verlangt werden. Da die Beschwerdeinstanz gemäss Art. 327 Abs. 3 ZPO nicht nur kassatorisch entscheiden kann, sondern bei Spruchreife selber einen Sachentscheid trifft, genügt ein blosser Antrag auf Aufhebung des angefochtenen Entscheides nicht, wenn vom Streitgegenstand her  wie nament- lich bei den betreibungsrechtlichen Summarsachen  ein Sachentscheid in Be- tracht fällt. Vielmehr bedarf es in einem solchen Fall eines Antrages in der Sache,</w:t>
      </w:r>
    </w:p>
    <w:p>
      <w:r>
        <w:t>5 / 8 der bei Gutheissung der Beschwerde zum Entscheid erhoben werden kann (vgl. Ivo W. Hungerbühler/Manuel Bucher, in: Brunner/Gasser/Schwander [Hrsg.], Kommentar zur Schweizerischen Zivilprozessordnung (ZPO), 2. Aufl., Zürich/St. Gallen 2016, N 19 zu Art. 321 mit Verweis auf N 16 ff. zu Art. 311). Anderseits muss aus der Begründung in jedem Fall hervorgehen, inwiefern der angefochtene Entscheid als fehlerhaft erachtet wird. Dieser Anforderung genügt der Beschwer- deführer nicht, wenn er lediglich auf die vor der ersten Instanz gemachten Aus- führungen verweist, sich mit Hinweisen auf frühere Prozesshandlungen zufrieden- gibt oder den angefochtenen Entscheid in allgemeiner Weise kritisiert. Die Be- gründung muss hinreichend genau und eindeutig sein, um von der Rechtsmittelin- stanz ohne weiteres verstanden werden zu können. Dies setzt voraus, dass der Beschwerdeführer im Einzelnen die erstinstanzlichen Erwägungen bezeichnet, die er anficht, und die Aktenstücke nennt, auf denen seine Kritik beruht (Urteil des Bundesgerichts 5A_387/2016 vom 7. September 2016, E. 3.1 mit Verweis auf BGE 138 III 374 E. 4.3.1; Karl Spühler, in: Spühler/Tenchio/Infanger [Hrsg.], Bas- ler Kommentar Schweizerische Zivilprozessordnung, 3. Aufl., Basel 2017, N 4 zu Art. 321 mit Verweis auf N 15 zu Art. 311 ZPO). 1.3.2. Im Beschwerdeverfahren sind neue Anträge, neue Tatsachenbehauptungen und neue Beweismittel ausgeschlossen (Art. 326 Abs. 1 ZPO). Es gilt mithin – un- ter dem Vorbehalt besonderer gesetzlicher Bestimmungen (Art. 326 Abs. 2 ZPO) – ein umfassendes Novenverbot. Die Beschwerde hat im Gegensatz zur Berufung nicht den Zweck, das vorinstanzliche Verfahren weiterzuführen, sondern dient ei- ner Rechtskontrolle des angefochtenen Entscheids. Massgebend ist somit der Prozessstoff, wie er im Zeitpunkt der Ausfällung des erstinstanzlichen Entscheids bestanden hat. Zulässig sind jedoch neue rechtliche Erwägungen (vgl. statt vieler Dieter Freiburghaus/Susanne Afheldt, in: Sutter-Somm/Hasenböhler/Leuenberger [Hrsg.], Kommentar zur Schweizerischen Zivilprozessordnung, 3. Aufl., Zürich 2016, N 3 f. zu Art. 326 ZPO). 1.3.3. Vorliegend entspricht die Beschwerdeschrift zwar insofern den soeben dar- gelegten formellen Anforderungen, als sie ein Rechtsbegehren und eine Begrün- dung derselben enthält. Das Rechtsbegehren erweist sich indessen als mangel- haft, da damit bloss die Aufhebung des angefochtenen Entscheides verlangt und einzig mit Bezug auf die Kosten ein reformatorisches Begehren gestellt wird. Auf- grund der Begründung wird aber immerhin klar, dass die Beschwerdeführerin eine Abweisung des Rechtsöffnungsbegehrens anstrebt. Es wäre daher überspitzt for- malistisch, wenn der Beschwerdeführerin ein ungenügender Antrag vorgehalten würde. Was vollständig fehlt, ist jedoch eine Auseinandersetzung mit den Erwä-</w:t>
      </w:r>
    </w:p>
    <w:p>
      <w:r>
        <w:rPr>
          <w:b/>
        </w:rPr>
        <w:t>E. 1.4</w:t>
      </w:r>
    </w:p>
    <w:p>
      <w:r>
        <w:t>Selbst wenn die Einwendungen der Beschwerdeführerin materiell zu prüfen wären, wären sie nicht geeignet, eine Abweisung des Rechtsöffnungsbegehrens zu bewirken. So wird seitens der Beschwerdeführerin nämlich weder beanstandet, dass die Vorinstanz den von der Beschwerdegegnerin ins Recht gelegten Ge- richtsentscheid vom 28. September 2016 als definitiven Rechtsöffnungstitel quali- fiziert hat, noch wird in Frage gestellt, dass die Beschwerdegegnerin die Unter- haltsbeiträge für den Sohn auf der Grundlage ihrer Verfügung vom 23. August 2017 tatsächlich im geltend gemachten Umfang von total CHF 25'558.00 bevor- schusst hat. Letzteres hat aber von Gesetzes wegen (Art. 289 Abs. 2 ZGB) zur Folge, dass das Forderungsrecht des Kindes im Umfang der erbrachten Leistun- gen auf die Gemeinde übergegangen ist (Legalzession). Selbst wenn es zutreffen würde, dass der Kindsvater die Beschwerdeführerin für dieselben Unterhaltsbei- träge (und nicht bloss für seinen persönlichen Unterhalt und den die Bevorschus- sung übersteigenden Teil des Kindesunterhalts) betrieben hätte (was mit den im Beschwerdeverfahren  verspätet  eingereichten Urkunden höchstens für die Zeit von Juli bis November 2017 erstellt ist), würde dies daher nichts daran ändern, dass die Vorinstanz die Gläubigerstellung der Beschwerdegegnerin zu Recht be- jaht hat. Vielmehr wären es die Betreibungen des Kindsvaters, die im Umfang der Bevorschussung zu Unrecht erfolgt wären. Um die Gefahr einer doppelten Bezah- lung der Unterhaltsbeiträge abzuwenden, müsste sich die Beschwerdeführerin folglich in den betreffenden Betreibungen zur Wehr setzen, wofür ihr die Rechts- behelfe von Art. 85 und 85a SchKG zur Verfügung stehen (vgl. dazu BGE 96 I 1). Dass der Kindsvater die Beschwerdeführerin allenfalls trotz der Bevorschussung (und damit unberechtigterweise) für den gesamten Kindesunterhalt betrieben hat und nach den Angaben der Beschwerdeführerin bereits eine Verwertung der ge- pfändeten Liegenschaft bevorsteht, hat nach dem Gesagten keinen Einfluss auf die Rechtmässigkeit der Bevorschussung und vermag die Liquidität der Rechts- nachfolge als Voraussetzung für die Erteilung der definitiven Rechtsöffnung (vgl.</w:t>
      </w:r>
    </w:p>
    <w:p>
      <w:r>
        <w:rPr>
          <w:b/>
        </w:rPr>
        <w:t>E. 2</w:t>
      </w:r>
    </w:p>
    <w:p>
      <w:r>
        <w:t>Die Kosten des Rechtsöffnungsverfahrens in der Höhe von CHF 400.00 gehen zulasten der Gesuchsgegnerin und werden mit dem von der Gesuchstellerin geleisteten Kostenvorschuss von CHF 400.00 ver- rechnet, unter Erteilung des Regressrechtes.</w:t>
      </w:r>
    </w:p>
    <w:p>
      <w:r>
        <w:rPr>
          <w:b/>
        </w:rPr>
        <w:t>E. 3</w:t>
      </w:r>
    </w:p>
    <w:p>
      <w:r>
        <w:t>Die Gesuchsgegnerin wird verpflichtet, die Gesuchstellerin ausseramt- lich mit CHF 100.00 zu entschädigen.</w:t>
      </w:r>
    </w:p>
    <w:p>
      <w:r>
        <w:rPr>
          <w:b/>
        </w:rPr>
        <w:t>E. 4</w:t>
      </w:r>
    </w:p>
    <w:p>
      <w:r>
        <w:t>(Rechtsmittelbelehrung).</w:t>
      </w:r>
    </w:p>
    <w:p>
      <w:r>
        <w:rPr>
          <w:b/>
        </w:rPr>
        <w:t>E. 5</w:t>
      </w:r>
    </w:p>
    <w:p>
      <w:r>
        <w:t>(Hinweise zum Fristenstillstand und den Betreibungsferien).</w:t>
      </w:r>
    </w:p>
    <w:p>
      <w:r>
        <w:rPr>
          <w:b/>
        </w:rPr>
        <w:t>E. 6</w:t>
      </w:r>
    </w:p>
    <w:p>
      <w:r>
        <w:t>/ 8 gungen des angefochtenen Entscheides. So finden sich weder Ausführungen da- zu, inwiefern die Vorinstanz den Sachverhalt offensichtlich unrichtig festgestellt haben soll noch in welchen Punkten sie das Recht unrichtig angewendet haben soll. Stattdessen versucht die Beschwerdeführerin, die sich am vorinstanzlichen Verfahren nicht beteiligt hat, eine Unrichtigkeit des angefochtenen Entscheides ausschliesslich mit Tatsachen und Beweismittel zu begründen, die sich als neu und damit im Sinne von Art. 326 ZPO unzulässig erweisen. Auf die Beschwerde ist daher mangels einer den gesetzlichen Anforderungen entsprechenden Begrün- dung nicht einzutreten.</w:t>
      </w:r>
    </w:p>
    <w:p>
      <w:r>
        <w:rPr>
          <w:b/>
        </w:rPr>
        <w:t>E. 7</w:t>
      </w:r>
    </w:p>
    <w:p>
      <w:r>
        <w:t>/ 8 BGE 140 III 372 E. 3.3.) nicht in Frage zu stellen. Die Beschwerde wäre somit ab- zuweisen, wenn darauf einzutreten wäre. 2. Bei diesem Ausgang des Verfahrens sind die Kosten des Beschwerdever- fahrens in Anwendung von Art. 106 Abs. 1 ZPO der Beschwerdeführerin aufzuer- legen. Die Spruchgebühr wird gestützt auf Art. 48 in Verbindung mit 61 Abs. 1 der Gebührenverordnung zum Bundesgesetz über Schuldbetreibung und Konkurs (GebVSchKG, SR 281.25) auf CHF 500.00 festgesetzt. Nachdem auf die Einho- lung einer Beschwerdeantwort verzichtet wurde, ist der Beschwerdegegnerin kei- ne Parteientschädigung zuzusprechen. 3. Der vorliegende Entscheid ergeht in Anwendung von Art. 18 Abs. 3 des Ge- richtsorganisationsgesetzes des Kantons Graubünden (GOG; BR 173.000) und Art. 7 Abs. 2 lit. b EGzZPO in einzelrichterlicher Kompetenz, da sich die vorliegen- de Beschwerde als offensichtlich unzulässig erwiesen hat.</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